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3E" w:rsidRDefault="003B054D">
      <w:pPr>
        <w:tabs>
          <w:tab w:val="left" w:pos="598"/>
        </w:tabs>
        <w:spacing w:before="100" w:after="100" w:line="240" w:lineRule="auto"/>
        <w:ind w:firstLine="567"/>
        <w:jc w:val="center"/>
        <w:rPr>
          <w:rFonts w:ascii="Times New Roman" w:eastAsia="Times New Roman" w:hAnsi="Times New Roman" w:cs="Times New Roman"/>
          <w:color w:val="000000"/>
          <w:sz w:val="24"/>
        </w:rPr>
      </w:pPr>
      <w:bookmarkStart w:id="0" w:name="_GoBack"/>
      <w:bookmarkEnd w:id="0"/>
      <w:r>
        <w:rPr>
          <w:rFonts w:ascii="Times New Roman" w:eastAsia="Times New Roman" w:hAnsi="Times New Roman" w:cs="Times New Roman"/>
          <w:b/>
          <w:color w:val="000000"/>
          <w:sz w:val="24"/>
        </w:rPr>
        <w:t>П.19 и.  Информация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222A3E" w:rsidRDefault="003B054D">
      <w:pPr>
        <w:tabs>
          <w:tab w:val="left" w:pos="598"/>
        </w:tabs>
        <w:spacing w:before="100" w:after="100" w:line="240" w:lineRule="auto"/>
        <w:ind w:right="350"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Подключение электроустановок потребителей к электрическим сетям АО «Саратовстройстекло» выполняется в соответствии «Правилами технологического присоединения </w:t>
      </w:r>
      <w:proofErr w:type="spellStart"/>
      <w:r>
        <w:rPr>
          <w:rFonts w:ascii="Times New Roman" w:eastAsia="Times New Roman" w:hAnsi="Times New Roman" w:cs="Times New Roman"/>
          <w:color w:val="000000"/>
          <w:sz w:val="24"/>
        </w:rPr>
        <w:t>энергопринимающих</w:t>
      </w:r>
      <w:proofErr w:type="spellEnd"/>
      <w:r>
        <w:rPr>
          <w:rFonts w:ascii="Times New Roman" w:eastAsia="Times New Roman" w:hAnsi="Times New Roman" w:cs="Times New Roman"/>
          <w:color w:val="000000"/>
          <w:sz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утверждёнными Постановлением Правительства РФ №861 от 27 декабря 2004 г., (с изменениями и дополнениями от 31 августа 2006 г., 21 марта, 26 июля 2007 г., 14 февраля, 21 апреля, 15 июня, 2 октября 2009 г., 3 марта, 15 мая, 9 июня, 24 сентября 2010 г., 1 марта, 29 декабря 2011 г.,  4 мая, 5 октября, 22 ноября, 20 декабря 2012 г., 26 июля, 12, 26 августа, 12, 28 октября, 21 ноября 2013 г., 10 февраля 2014 г., 20 февраля 2014, 11 июня 2014, 31 июля 2014 г., 13 марта, 13 апреля, 11 июня, 7 июля, 4, 30 сентября 2015 г.), (далее по тексту Правила).</w:t>
      </w:r>
    </w:p>
    <w:p w:rsidR="00222A3E" w:rsidRDefault="003B054D">
      <w:pPr>
        <w:tabs>
          <w:tab w:val="left" w:pos="851"/>
        </w:tabs>
        <w:spacing w:before="100" w:after="100" w:line="240" w:lineRule="auto"/>
        <w:ind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Порядок выполнения технологических, технических и других мероприятий, связанных с технологическим присоединением к электрическим сетям АО «Саратовстройстекло»</w:t>
      </w:r>
    </w:p>
    <w:p w:rsidR="00222A3E" w:rsidRDefault="00222A3E">
      <w:pPr>
        <w:tabs>
          <w:tab w:val="left" w:pos="851"/>
          <w:tab w:val="left" w:pos="9848"/>
        </w:tabs>
        <w:spacing w:after="0" w:line="240" w:lineRule="auto"/>
        <w:ind w:firstLine="567"/>
        <w:jc w:val="both"/>
        <w:rPr>
          <w:rFonts w:ascii="Times New Roman" w:eastAsia="Times New Roman" w:hAnsi="Times New Roman" w:cs="Times New Roman"/>
          <w:color w:val="000000"/>
          <w:sz w:val="24"/>
        </w:rPr>
      </w:pP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Подача заявки 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rPr>
          <w:rFonts w:ascii="Times New Roman" w:eastAsia="Times New Roman" w:hAnsi="Times New Roman" w:cs="Times New Roman"/>
          <w:color w:val="000000"/>
          <w:sz w:val="24"/>
        </w:rPr>
        <w:t>энергопринимающих</w:t>
      </w:r>
      <w:proofErr w:type="spellEnd"/>
      <w:r>
        <w:rPr>
          <w:rFonts w:ascii="Times New Roman" w:eastAsia="Times New Roman" w:hAnsi="Times New Roman" w:cs="Times New Roman"/>
          <w:color w:val="000000"/>
          <w:sz w:val="24"/>
        </w:rPr>
        <w:t xml:space="preserve"> устройств и (или) увеличение объема максимальной мощности, точки присоединения.</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Подготовка и направление Заявителю проекта договора об осуществлении технологического присоединения включая технические условия.</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Заключение договора об осуществлении технологического присоединения.</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Сетевой организацией проектной документации согласно обязательствам, предусмотренным техническими условиями.</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rPr>
          <w:rFonts w:ascii="Times New Roman" w:eastAsia="Times New Roman" w:hAnsi="Times New Roman" w:cs="Times New Roman"/>
          <w:color w:val="000000"/>
          <w:sz w:val="24"/>
        </w:rPr>
        <w:t>энергопринимающих</w:t>
      </w:r>
      <w:proofErr w:type="spellEnd"/>
      <w:r>
        <w:rPr>
          <w:rFonts w:ascii="Times New Roman" w:eastAsia="Times New Roman" w:hAnsi="Times New Roman" w:cs="Times New Roman"/>
          <w:color w:val="000000"/>
          <w:sz w:val="24"/>
        </w:rPr>
        <w:t xml:space="preserve"> устройств под действие аппаратуры противоаварийной и режимной автоматики в соответствии с техническими условиями.</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Правилами подлежат согласованию с таким субъектом оперативно-диспетчерского управления), за исключением заявителей, указанных в </w:t>
      </w:r>
      <w:hyperlink r:id="rId5">
        <w:r>
          <w:rPr>
            <w:rFonts w:ascii="Times New Roman" w:eastAsia="Times New Roman" w:hAnsi="Times New Roman" w:cs="Times New Roman"/>
            <w:color w:val="000000"/>
            <w:sz w:val="24"/>
            <w:u w:val="single"/>
          </w:rPr>
          <w:t>пунктах 12.1</w:t>
        </w:r>
      </w:hyperlink>
      <w:r>
        <w:rPr>
          <w:rFonts w:ascii="Times New Roman" w:eastAsia="Times New Roman" w:hAnsi="Times New Roman" w:cs="Times New Roman"/>
          <w:color w:val="000000"/>
          <w:sz w:val="24"/>
        </w:rPr>
        <w:t xml:space="preserve">, </w:t>
      </w:r>
      <w:hyperlink r:id="rId6">
        <w:r>
          <w:rPr>
            <w:rFonts w:ascii="Times New Roman" w:eastAsia="Times New Roman" w:hAnsi="Times New Roman" w:cs="Times New Roman"/>
            <w:color w:val="000000"/>
            <w:sz w:val="24"/>
            <w:u w:val="single"/>
          </w:rPr>
          <w:t>13</w:t>
        </w:r>
      </w:hyperlink>
      <w:r>
        <w:rPr>
          <w:rFonts w:ascii="Times New Roman" w:eastAsia="Times New Roman" w:hAnsi="Times New Roman" w:cs="Times New Roman"/>
          <w:color w:val="000000"/>
          <w:sz w:val="24"/>
        </w:rPr>
        <w:t xml:space="preserve"> и </w:t>
      </w:r>
      <w:hyperlink r:id="rId7">
        <w:r>
          <w:rPr>
            <w:rFonts w:ascii="Times New Roman" w:eastAsia="Times New Roman" w:hAnsi="Times New Roman" w:cs="Times New Roman"/>
            <w:color w:val="000000"/>
            <w:sz w:val="24"/>
            <w:u w:val="single"/>
          </w:rPr>
          <w:t>14</w:t>
        </w:r>
      </w:hyperlink>
      <w:r>
        <w:rPr>
          <w:rFonts w:ascii="Times New Roman" w:eastAsia="Times New Roman" w:hAnsi="Times New Roman" w:cs="Times New Roman"/>
          <w:color w:val="000000"/>
          <w:sz w:val="24"/>
        </w:rPr>
        <w:t xml:space="preserve"> Правил, а также допуск в эксплуатацию установленного в процессе технологического присоединения прибора учета электрической энергии, включающий составление акта допуска прибора учета в эксплуатацию в порядке, предусмотренном </w:t>
      </w:r>
      <w:hyperlink r:id="rId8">
        <w:r>
          <w:rPr>
            <w:rFonts w:ascii="Times New Roman" w:eastAsia="Times New Roman" w:hAnsi="Times New Roman" w:cs="Times New Roman"/>
            <w:color w:val="000000"/>
            <w:sz w:val="24"/>
            <w:u w:val="single"/>
          </w:rPr>
          <w:t>Основными положениями</w:t>
        </w:r>
      </w:hyperlink>
      <w:r>
        <w:rPr>
          <w:rFonts w:ascii="Times New Roman" w:eastAsia="Times New Roman" w:hAnsi="Times New Roman" w:cs="Times New Roman"/>
          <w:color w:val="000000"/>
          <w:sz w:val="24"/>
        </w:rPr>
        <w:t xml:space="preserve"> функционирования розничных рынков электрической энергии.</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Осмотр (обследование) присоединяемых </w:t>
      </w:r>
      <w:proofErr w:type="spellStart"/>
      <w:r>
        <w:rPr>
          <w:rFonts w:ascii="Times New Roman" w:eastAsia="Times New Roman" w:hAnsi="Times New Roman" w:cs="Times New Roman"/>
          <w:color w:val="000000"/>
          <w:sz w:val="24"/>
        </w:rPr>
        <w:t>энергопринимающих</w:t>
      </w:r>
      <w:proofErr w:type="spellEnd"/>
      <w:r>
        <w:rPr>
          <w:rFonts w:ascii="Times New Roman" w:eastAsia="Times New Roman" w:hAnsi="Times New Roman" w:cs="Times New Roman"/>
          <w:color w:val="000000"/>
          <w:sz w:val="24"/>
        </w:rPr>
        <w:t xml:space="preserve"> устройств должностным лицом органа федерального государственного энергетического надзора при </w:t>
      </w:r>
      <w:r>
        <w:rPr>
          <w:rFonts w:ascii="Times New Roman" w:eastAsia="Times New Roman" w:hAnsi="Times New Roman" w:cs="Times New Roman"/>
          <w:color w:val="000000"/>
          <w:sz w:val="24"/>
        </w:rPr>
        <w:lastRenderedPageBreak/>
        <w:t xml:space="preserve">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согласованию с таким субъектом оперативно-диспетчерского управления (для лиц, указанных в </w:t>
      </w:r>
      <w:hyperlink r:id="rId9">
        <w:r>
          <w:rPr>
            <w:rFonts w:ascii="Times New Roman" w:eastAsia="Times New Roman" w:hAnsi="Times New Roman" w:cs="Times New Roman"/>
            <w:color w:val="000000"/>
            <w:sz w:val="24"/>
            <w:u w:val="single"/>
          </w:rPr>
          <w:t>пункте 12</w:t>
        </w:r>
      </w:hyperlink>
      <w:r>
        <w:rPr>
          <w:rFonts w:ascii="Times New Roman" w:eastAsia="Times New Roman" w:hAnsi="Times New Roman" w:cs="Times New Roman"/>
          <w:color w:val="000000"/>
          <w:sz w:val="24"/>
        </w:rPr>
        <w:t xml:space="preserve"> Правил, в случае осуществления технологического присоединения </w:t>
      </w:r>
      <w:proofErr w:type="spellStart"/>
      <w:r>
        <w:rPr>
          <w:rFonts w:ascii="Times New Roman" w:eastAsia="Times New Roman" w:hAnsi="Times New Roman" w:cs="Times New Roman"/>
          <w:color w:val="000000"/>
          <w:sz w:val="24"/>
        </w:rPr>
        <w:t>энергопринимающих</w:t>
      </w:r>
      <w:proofErr w:type="spellEnd"/>
      <w:r>
        <w:rPr>
          <w:rFonts w:ascii="Times New Roman" w:eastAsia="Times New Roman" w:hAnsi="Times New Roman" w:cs="Times New Roman"/>
          <w:color w:val="000000"/>
          <w:sz w:val="24"/>
        </w:rPr>
        <w:t xml:space="preserve"> устройств указанных Заявителей по третьей категории надежности (по одному источнику электроснабжения к электрическим сетям классом напряжения до 10 </w:t>
      </w:r>
      <w:proofErr w:type="spellStart"/>
      <w:r>
        <w:rPr>
          <w:rFonts w:ascii="Times New Roman" w:eastAsia="Times New Roman" w:hAnsi="Times New Roman" w:cs="Times New Roman"/>
          <w:color w:val="000000"/>
          <w:sz w:val="24"/>
        </w:rPr>
        <w:t>кВ</w:t>
      </w:r>
      <w:proofErr w:type="spellEnd"/>
      <w:r>
        <w:rPr>
          <w:rFonts w:ascii="Times New Roman" w:eastAsia="Times New Roman" w:hAnsi="Times New Roman" w:cs="Times New Roman"/>
          <w:color w:val="000000"/>
          <w:sz w:val="24"/>
        </w:rPr>
        <w:t xml:space="preserve"> включительно, а также для лиц, указанных в </w:t>
      </w:r>
      <w:hyperlink r:id="rId10">
        <w:r>
          <w:rPr>
            <w:rFonts w:ascii="Times New Roman" w:eastAsia="Times New Roman" w:hAnsi="Times New Roman" w:cs="Times New Roman"/>
            <w:color w:val="000000"/>
            <w:sz w:val="24"/>
            <w:u w:val="single"/>
          </w:rPr>
          <w:t>пунктах 12.1</w:t>
        </w:r>
      </w:hyperlink>
      <w:r>
        <w:rPr>
          <w:rFonts w:ascii="Times New Roman" w:eastAsia="Times New Roman" w:hAnsi="Times New Roman" w:cs="Times New Roman"/>
          <w:color w:val="000000"/>
          <w:sz w:val="24"/>
        </w:rPr>
        <w:t xml:space="preserve">, </w:t>
      </w:r>
      <w:hyperlink r:id="rId11">
        <w:r>
          <w:rPr>
            <w:rFonts w:ascii="Times New Roman" w:eastAsia="Times New Roman" w:hAnsi="Times New Roman" w:cs="Times New Roman"/>
            <w:color w:val="000000"/>
            <w:sz w:val="24"/>
            <w:u w:val="single"/>
          </w:rPr>
          <w:t>13</w:t>
        </w:r>
      </w:hyperlink>
      <w:r>
        <w:rPr>
          <w:rFonts w:ascii="Times New Roman" w:eastAsia="Times New Roman" w:hAnsi="Times New Roman" w:cs="Times New Roman"/>
          <w:color w:val="000000"/>
          <w:sz w:val="24"/>
        </w:rPr>
        <w:t xml:space="preserve"> и </w:t>
      </w:r>
      <w:hyperlink r:id="rId12">
        <w:r>
          <w:rPr>
            <w:rFonts w:ascii="Times New Roman" w:eastAsia="Times New Roman" w:hAnsi="Times New Roman" w:cs="Times New Roman"/>
            <w:color w:val="000000"/>
            <w:sz w:val="24"/>
            <w:u w:val="single"/>
          </w:rPr>
          <w:t>14</w:t>
        </w:r>
      </w:hyperlink>
      <w:r>
        <w:rPr>
          <w:rFonts w:ascii="Times New Roman" w:eastAsia="Times New Roman" w:hAnsi="Times New Roman" w:cs="Times New Roman"/>
          <w:color w:val="000000"/>
          <w:sz w:val="24"/>
        </w:rPr>
        <w:t xml:space="preserve">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w:t>
      </w:r>
      <w:proofErr w:type="spellStart"/>
      <w:r>
        <w:rPr>
          <w:rFonts w:ascii="Times New Roman" w:eastAsia="Times New Roman" w:hAnsi="Times New Roman" w:cs="Times New Roman"/>
          <w:color w:val="000000"/>
          <w:sz w:val="24"/>
        </w:rPr>
        <w:t>энергопринимающих</w:t>
      </w:r>
      <w:proofErr w:type="spellEnd"/>
      <w:r>
        <w:rPr>
          <w:rFonts w:ascii="Times New Roman" w:eastAsia="Times New Roman" w:hAnsi="Times New Roman" w:cs="Times New Roman"/>
          <w:color w:val="000000"/>
          <w:sz w:val="24"/>
        </w:rPr>
        <w:t xml:space="preserve"> устройств Заявителя.</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Осуществление сетевой организацией фактического присоединения объектов заявителя к электрическим сетям. Для целей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Pr>
          <w:rFonts w:ascii="Times New Roman" w:eastAsia="Times New Roman" w:hAnsi="Times New Roman" w:cs="Times New Roman"/>
          <w:color w:val="000000"/>
          <w:sz w:val="24"/>
        </w:rPr>
        <w:t>энергопринимающих</w:t>
      </w:r>
      <w:proofErr w:type="spellEnd"/>
      <w:r>
        <w:rPr>
          <w:rFonts w:ascii="Times New Roman" w:eastAsia="Times New Roman" w:hAnsi="Times New Roman" w:cs="Times New Roman"/>
          <w:color w:val="000000"/>
          <w:sz w:val="24"/>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222A3E" w:rsidRDefault="003B054D">
      <w:pPr>
        <w:numPr>
          <w:ilvl w:val="0"/>
          <w:numId w:val="1"/>
        </w:numPr>
        <w:tabs>
          <w:tab w:val="left" w:pos="634"/>
          <w:tab w:val="left" w:pos="851"/>
          <w:tab w:val="left" w:pos="9848"/>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Составление акта об осуществлении технологического присоединения по форме согласно </w:t>
      </w:r>
      <w:hyperlink r:id="rId13">
        <w:r>
          <w:rPr>
            <w:rFonts w:ascii="Times New Roman" w:eastAsia="Times New Roman" w:hAnsi="Times New Roman" w:cs="Times New Roman"/>
            <w:color w:val="000000"/>
            <w:sz w:val="24"/>
            <w:u w:val="single"/>
          </w:rPr>
          <w:t>приложению N 1</w:t>
        </w:r>
      </w:hyperlink>
      <w:r>
        <w:rPr>
          <w:rFonts w:ascii="Times New Roman" w:eastAsia="Times New Roman" w:hAnsi="Times New Roman" w:cs="Times New Roman"/>
          <w:color w:val="000000"/>
          <w:sz w:val="24"/>
        </w:rPr>
        <w:t xml:space="preserve"> Правил (далее - акт об осуществлении технологического присоединения), акта разграничения границ балансовой принадлежности сторон по форме согласно </w:t>
      </w:r>
      <w:hyperlink r:id="rId14">
        <w:r>
          <w:rPr>
            <w:rFonts w:ascii="Times New Roman" w:eastAsia="Times New Roman" w:hAnsi="Times New Roman" w:cs="Times New Roman"/>
            <w:color w:val="000000"/>
            <w:sz w:val="24"/>
            <w:u w:val="single"/>
          </w:rPr>
          <w:t>приложению N 2</w:t>
        </w:r>
      </w:hyperlink>
      <w:r>
        <w:rPr>
          <w:rFonts w:ascii="Times New Roman" w:eastAsia="Times New Roman" w:hAnsi="Times New Roman" w:cs="Times New Roman"/>
          <w:color w:val="000000"/>
          <w:sz w:val="24"/>
        </w:rPr>
        <w:t xml:space="preserve"> Правил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r:id="rId15">
        <w:r>
          <w:rPr>
            <w:rFonts w:ascii="Times New Roman" w:eastAsia="Times New Roman" w:hAnsi="Times New Roman" w:cs="Times New Roman"/>
            <w:color w:val="000000"/>
            <w:sz w:val="24"/>
            <w:u w:val="single"/>
          </w:rPr>
          <w:t>приложению N 3</w:t>
        </w:r>
      </w:hyperlink>
      <w:r>
        <w:rPr>
          <w:rFonts w:ascii="Times New Roman" w:eastAsia="Times New Roman" w:hAnsi="Times New Roman" w:cs="Times New Roman"/>
          <w:color w:val="000000"/>
          <w:sz w:val="24"/>
        </w:rPr>
        <w:t xml:space="preserve"> Правил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r:id="rId16">
        <w:r>
          <w:rPr>
            <w:rFonts w:ascii="Times New Roman" w:eastAsia="Times New Roman" w:hAnsi="Times New Roman" w:cs="Times New Roman"/>
            <w:color w:val="000000"/>
            <w:sz w:val="24"/>
            <w:u w:val="single"/>
          </w:rPr>
          <w:t>пункте 14.2</w:t>
        </w:r>
      </w:hyperlink>
      <w:r>
        <w:rPr>
          <w:rFonts w:ascii="Times New Roman" w:eastAsia="Times New Roman" w:hAnsi="Times New Roman" w:cs="Times New Roman"/>
          <w:color w:val="000000"/>
          <w:sz w:val="24"/>
        </w:rPr>
        <w:t xml:space="preserve"> Правил).</w:t>
      </w:r>
    </w:p>
    <w:p w:rsidR="00222A3E" w:rsidRDefault="00222A3E">
      <w:pPr>
        <w:tabs>
          <w:tab w:val="left" w:pos="634"/>
          <w:tab w:val="left" w:pos="851"/>
          <w:tab w:val="left" w:pos="9848"/>
        </w:tabs>
        <w:spacing w:after="0" w:line="240" w:lineRule="auto"/>
        <w:ind w:left="567"/>
        <w:jc w:val="both"/>
        <w:rPr>
          <w:rFonts w:ascii="Times New Roman" w:eastAsia="Times New Roman" w:hAnsi="Times New Roman" w:cs="Times New Roman"/>
          <w:color w:val="000000"/>
          <w:sz w:val="17"/>
        </w:rPr>
      </w:pPr>
    </w:p>
    <w:p w:rsidR="00222A3E" w:rsidRDefault="00222A3E">
      <w:pPr>
        <w:tabs>
          <w:tab w:val="left" w:pos="634"/>
          <w:tab w:val="left" w:pos="851"/>
          <w:tab w:val="left" w:pos="9848"/>
        </w:tabs>
        <w:spacing w:after="0" w:line="240" w:lineRule="auto"/>
        <w:ind w:left="567"/>
        <w:jc w:val="both"/>
        <w:rPr>
          <w:rFonts w:ascii="Times New Roman" w:eastAsia="Times New Roman" w:hAnsi="Times New Roman" w:cs="Times New Roman"/>
          <w:color w:val="000000"/>
          <w:sz w:val="17"/>
        </w:rPr>
      </w:pPr>
    </w:p>
    <w:sectPr w:rsidR="00222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449DF"/>
    <w:multiLevelType w:val="multilevel"/>
    <w:tmpl w:val="49243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3E"/>
    <w:rsid w:val="000952C2"/>
    <w:rsid w:val="00222A3E"/>
    <w:rsid w:val="003B0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04BB1-5C99-4B3F-9B6C-3D42A4EE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garantf1://70083216.1000/" TargetMode="External"/><Relationship Id="rId13" Type="http://schemas.openxmlformats.org/officeDocument/2006/relationships/hyperlink" Target="http://www.spgs.ru/stand_2016_5.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gs.ru/stand_2016_5.php" TargetMode="External"/><Relationship Id="rId12" Type="http://schemas.openxmlformats.org/officeDocument/2006/relationships/hyperlink" Target="http://www.spgs.ru/stand_2016_5.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gs.ru/stand_2016_5.php" TargetMode="External"/><Relationship Id="rId1" Type="http://schemas.openxmlformats.org/officeDocument/2006/relationships/numbering" Target="numbering.xml"/><Relationship Id="rId6" Type="http://schemas.openxmlformats.org/officeDocument/2006/relationships/hyperlink" Target="http://www.spgs.ru/stand_2016_5.php" TargetMode="External"/><Relationship Id="rId11" Type="http://schemas.openxmlformats.org/officeDocument/2006/relationships/hyperlink" Target="http://www.spgs.ru/stand_2016_5.php" TargetMode="External"/><Relationship Id="rId5" Type="http://schemas.openxmlformats.org/officeDocument/2006/relationships/hyperlink" Target="http://www.spgs.ru/stand_2016_5.php" TargetMode="External"/><Relationship Id="rId15" Type="http://schemas.openxmlformats.org/officeDocument/2006/relationships/hyperlink" Target="http://www.spgs.ru/stand_2016_5.php" TargetMode="External"/><Relationship Id="rId10" Type="http://schemas.openxmlformats.org/officeDocument/2006/relationships/hyperlink" Target="http://www.spgs.ru/stand_2016_5.php" TargetMode="External"/><Relationship Id="rId4" Type="http://schemas.openxmlformats.org/officeDocument/2006/relationships/webSettings" Target="webSettings.xml"/><Relationship Id="rId9" Type="http://schemas.openxmlformats.org/officeDocument/2006/relationships/hyperlink" Target="http://www.spgs.ru/stand_2016_5.php" TargetMode="External"/><Relationship Id="rId14" Type="http://schemas.openxmlformats.org/officeDocument/2006/relationships/hyperlink" Target="http://www.spgs.ru/stand_2016_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Тюкаева Наталья Александровна</dc:creator>
  <cp:lastModifiedBy>Бородуля Владимир Николаевич</cp:lastModifiedBy>
  <cp:revision>2</cp:revision>
  <dcterms:created xsi:type="dcterms:W3CDTF">2021-02-12T04:21:00Z</dcterms:created>
  <dcterms:modified xsi:type="dcterms:W3CDTF">2021-02-12T04:21:00Z</dcterms:modified>
</cp:coreProperties>
</file>